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B8" w:rsidRDefault="00011DB8" w:rsidP="00201E94">
      <w:pPr>
        <w:pStyle w:val="TextoCar"/>
        <w:spacing w:after="0" w:line="240" w:lineRule="auto"/>
        <w:ind w:firstLine="0"/>
        <w:jc w:val="center"/>
        <w:rPr>
          <w:rFonts w:ascii="Verdana" w:hAnsi="Verdana"/>
          <w:b/>
          <w:sz w:val="20"/>
          <w:szCs w:val="20"/>
          <w:lang w:val="es-MX"/>
        </w:rPr>
      </w:pPr>
      <w:r w:rsidRPr="00011DB8">
        <w:rPr>
          <w:rFonts w:ascii="Verdana" w:hAnsi="Verdana"/>
          <w:b/>
          <w:sz w:val="20"/>
          <w:szCs w:val="20"/>
          <w:lang w:val="es-MX"/>
        </w:rPr>
        <w:t>LEY DE DESARROLLO SOCIAL Y HUMANO PARA EL ESTADO Y LOS MUNICIPIOS DE GUANAJUATO</w:t>
      </w:r>
    </w:p>
    <w:p w:rsidR="00011DB8" w:rsidRDefault="00011DB8" w:rsidP="00201E94">
      <w:pPr>
        <w:pStyle w:val="TextoCar"/>
        <w:spacing w:after="0" w:line="240" w:lineRule="auto"/>
        <w:ind w:firstLine="0"/>
        <w:jc w:val="center"/>
        <w:rPr>
          <w:rFonts w:ascii="Verdana" w:hAnsi="Verdana"/>
          <w:b/>
          <w:sz w:val="20"/>
          <w:szCs w:val="20"/>
          <w:lang w:val="es-MX"/>
        </w:rPr>
      </w:pPr>
    </w:p>
    <w:p w:rsidR="00201E94" w:rsidRDefault="00201E94" w:rsidP="00201E94">
      <w:pPr>
        <w:pStyle w:val="TextoCar"/>
        <w:spacing w:after="0" w:line="240" w:lineRule="auto"/>
        <w:ind w:firstLine="0"/>
        <w:jc w:val="center"/>
        <w:rPr>
          <w:rFonts w:ascii="Verdana" w:hAnsi="Verdana"/>
          <w:b/>
          <w:sz w:val="20"/>
          <w:szCs w:val="20"/>
          <w:lang w:val="es-MX"/>
        </w:rPr>
      </w:pPr>
      <w:r>
        <w:rPr>
          <w:rFonts w:ascii="Verdana" w:hAnsi="Verdana"/>
          <w:b/>
          <w:sz w:val="20"/>
          <w:szCs w:val="20"/>
          <w:lang w:val="es-MX"/>
        </w:rPr>
        <w:t>Capítulo I</w:t>
      </w:r>
    </w:p>
    <w:p w:rsidR="00201E94" w:rsidRDefault="00201E94" w:rsidP="00201E94">
      <w:pPr>
        <w:pStyle w:val="TextoCar"/>
        <w:spacing w:after="0" w:line="240" w:lineRule="auto"/>
        <w:ind w:firstLine="0"/>
        <w:jc w:val="center"/>
        <w:rPr>
          <w:rFonts w:ascii="Verdana" w:hAnsi="Verdana"/>
          <w:b/>
          <w:sz w:val="20"/>
          <w:szCs w:val="20"/>
          <w:lang w:val="es-MX"/>
        </w:rPr>
      </w:pPr>
      <w:r>
        <w:rPr>
          <w:rFonts w:ascii="Verdana" w:hAnsi="Verdana"/>
          <w:b/>
          <w:sz w:val="20"/>
          <w:szCs w:val="20"/>
          <w:lang w:val="es-MX"/>
        </w:rPr>
        <w:t>Del Objeto de la Ley</w:t>
      </w:r>
    </w:p>
    <w:p w:rsidR="00201E94" w:rsidRDefault="00201E94" w:rsidP="00201E94">
      <w:pPr>
        <w:pStyle w:val="TextoCar"/>
        <w:spacing w:after="0" w:line="240" w:lineRule="auto"/>
        <w:ind w:firstLine="0"/>
        <w:jc w:val="center"/>
        <w:rPr>
          <w:rFonts w:ascii="Verdana" w:hAnsi="Verdana"/>
          <w:b/>
          <w:sz w:val="20"/>
          <w:szCs w:val="20"/>
          <w:lang w:val="es-MX"/>
        </w:rPr>
      </w:pPr>
    </w:p>
    <w:p w:rsidR="00201E94" w:rsidRDefault="00201E94" w:rsidP="00201E94">
      <w:pPr>
        <w:pStyle w:val="TextoCar"/>
        <w:spacing w:after="0" w:line="240" w:lineRule="auto"/>
        <w:ind w:firstLine="709"/>
        <w:rPr>
          <w:rFonts w:ascii="Verdana" w:hAnsi="Verdana"/>
          <w:sz w:val="20"/>
          <w:szCs w:val="20"/>
        </w:rPr>
      </w:pPr>
      <w:r>
        <w:rPr>
          <w:rFonts w:ascii="Verdana" w:hAnsi="Verdana"/>
          <w:b/>
          <w:sz w:val="20"/>
          <w:szCs w:val="20"/>
        </w:rPr>
        <w:t>Artículo 1.</w:t>
      </w:r>
      <w:r>
        <w:rPr>
          <w:rFonts w:ascii="Verdana" w:hAnsi="Verdana"/>
          <w:sz w:val="20"/>
          <w:szCs w:val="20"/>
        </w:rPr>
        <w:t xml:space="preserve"> La presente ley es de orden público e interés social, y tiene por objeto:</w:t>
      </w:r>
    </w:p>
    <w:p w:rsidR="00201E94" w:rsidRDefault="00201E94" w:rsidP="00201E94">
      <w:pPr>
        <w:pStyle w:val="TextoCar"/>
        <w:spacing w:after="0" w:line="240" w:lineRule="auto"/>
        <w:ind w:firstLine="709"/>
        <w:rPr>
          <w:rFonts w:ascii="Verdana" w:hAnsi="Verdana"/>
          <w:sz w:val="20"/>
          <w:szCs w:val="20"/>
        </w:rPr>
      </w:pPr>
    </w:p>
    <w:p w:rsidR="00201E94" w:rsidRDefault="00201E94" w:rsidP="00201E94">
      <w:pPr>
        <w:pStyle w:val="Prrafodelista"/>
        <w:numPr>
          <w:ilvl w:val="0"/>
          <w:numId w:val="2"/>
        </w:numPr>
        <w:ind w:hanging="720"/>
        <w:jc w:val="both"/>
        <w:rPr>
          <w:rFonts w:ascii="Verdana" w:hAnsi="Verdana"/>
          <w:sz w:val="20"/>
          <w:szCs w:val="20"/>
        </w:rPr>
      </w:pPr>
      <w:r>
        <w:rPr>
          <w:rFonts w:ascii="Verdana" w:hAnsi="Verdana"/>
          <w:sz w:val="20"/>
          <w:szCs w:val="20"/>
        </w:rPr>
        <w:t>Promover y garantizar a los habitantes del Estado el pleno ejercicio de los derechos sociales consagrados en la Constitución Política de los Estados Unidos Mexicanos, en instrumentos jurídicos internacionales, en la Constitución Política para el Estado de Guanajuato y en la Ley General de Desarrollo Social, asegurando el acceso de toda la población al desarrollo social y humano;</w:t>
      </w:r>
    </w:p>
    <w:p w:rsidR="00201E94" w:rsidRDefault="00201E94" w:rsidP="00201E94">
      <w:pPr>
        <w:pStyle w:val="TextoCar"/>
        <w:spacing w:after="0" w:line="240" w:lineRule="auto"/>
        <w:ind w:firstLine="0"/>
        <w:jc w:val="right"/>
        <w:rPr>
          <w:rFonts w:ascii="Verdana" w:hAnsi="Verdana"/>
          <w:b/>
          <w:i/>
          <w:sz w:val="20"/>
          <w:szCs w:val="20"/>
        </w:rPr>
      </w:pPr>
      <w:r>
        <w:rPr>
          <w:rFonts w:ascii="Verdana" w:hAnsi="Verdana"/>
          <w:b/>
          <w:color w:val="FF6699"/>
          <w:sz w:val="16"/>
          <w:szCs w:val="16"/>
        </w:rPr>
        <w:t>Fracción reformada P.O. 04-09-2009</w:t>
      </w:r>
    </w:p>
    <w:p w:rsidR="00201E94" w:rsidRDefault="00201E94" w:rsidP="00201E94">
      <w:pPr>
        <w:ind w:left="720" w:hanging="720"/>
        <w:jc w:val="both"/>
        <w:rPr>
          <w:rFonts w:ascii="Verdana" w:hAnsi="Verdana"/>
          <w:sz w:val="20"/>
          <w:szCs w:val="20"/>
        </w:rPr>
      </w:pPr>
    </w:p>
    <w:p w:rsidR="00201E94" w:rsidRDefault="00201E94" w:rsidP="00201E94">
      <w:pPr>
        <w:pStyle w:val="Prrafodelista"/>
        <w:numPr>
          <w:ilvl w:val="0"/>
          <w:numId w:val="2"/>
        </w:numPr>
        <w:ind w:hanging="720"/>
        <w:jc w:val="both"/>
        <w:rPr>
          <w:rFonts w:ascii="Verdana" w:hAnsi="Verdana"/>
          <w:sz w:val="20"/>
          <w:szCs w:val="20"/>
        </w:rPr>
      </w:pPr>
      <w:r>
        <w:rPr>
          <w:rFonts w:ascii="Verdana" w:hAnsi="Verdana"/>
          <w:sz w:val="20"/>
          <w:szCs w:val="20"/>
        </w:rPr>
        <w:t>Señalar las atribuciones de los gobiernos estatal y municipal, establecer las instituciones responsables del desarrollo social y humano, así como definir los principios y lineamientos generales a los que deben sujetarse las políticas públicas;</w:t>
      </w:r>
    </w:p>
    <w:p w:rsidR="00201E94" w:rsidRDefault="00201E94" w:rsidP="00201E94">
      <w:pPr>
        <w:pStyle w:val="TextoCar"/>
        <w:spacing w:after="0" w:line="240" w:lineRule="auto"/>
        <w:ind w:firstLine="0"/>
        <w:jc w:val="right"/>
        <w:rPr>
          <w:rFonts w:ascii="Verdana" w:hAnsi="Verdana"/>
          <w:b/>
          <w:i/>
          <w:sz w:val="20"/>
          <w:szCs w:val="20"/>
        </w:rPr>
      </w:pPr>
      <w:r>
        <w:rPr>
          <w:rFonts w:ascii="Verdana" w:hAnsi="Verdana"/>
          <w:b/>
          <w:color w:val="FF6699"/>
          <w:sz w:val="16"/>
          <w:szCs w:val="16"/>
        </w:rPr>
        <w:t>Fracción reformada P.O. 04-09-2009</w:t>
      </w:r>
    </w:p>
    <w:p w:rsidR="00201E94" w:rsidRDefault="00201E94" w:rsidP="00201E94">
      <w:pPr>
        <w:ind w:left="720" w:hanging="720"/>
        <w:jc w:val="both"/>
        <w:rPr>
          <w:rFonts w:ascii="Verdana" w:hAnsi="Verdana"/>
          <w:b/>
          <w:sz w:val="20"/>
          <w:szCs w:val="20"/>
        </w:rPr>
      </w:pPr>
    </w:p>
    <w:p w:rsidR="00201E94" w:rsidRDefault="00201E94" w:rsidP="00201E94">
      <w:pPr>
        <w:pStyle w:val="TextoCar"/>
        <w:numPr>
          <w:ilvl w:val="0"/>
          <w:numId w:val="2"/>
        </w:numPr>
        <w:spacing w:after="0" w:line="240" w:lineRule="auto"/>
        <w:ind w:hanging="720"/>
        <w:rPr>
          <w:rFonts w:ascii="Verdana" w:hAnsi="Verdana"/>
          <w:sz w:val="20"/>
          <w:szCs w:val="20"/>
        </w:rPr>
      </w:pPr>
      <w:r>
        <w:rPr>
          <w:rFonts w:ascii="Verdana" w:hAnsi="Verdana"/>
          <w:sz w:val="20"/>
          <w:szCs w:val="20"/>
        </w:rPr>
        <w:t>Fortalecer las bases y principios generales para la planeación, ejecución, evaluación y seguimiento de los programas y acciones de las políticas públicas;</w:t>
      </w:r>
    </w:p>
    <w:p w:rsidR="00201E94" w:rsidRDefault="00201E94" w:rsidP="00201E94">
      <w:pPr>
        <w:pStyle w:val="TextoCar"/>
        <w:spacing w:after="0" w:line="240" w:lineRule="auto"/>
        <w:ind w:firstLine="0"/>
        <w:jc w:val="right"/>
        <w:rPr>
          <w:rFonts w:ascii="Verdana" w:hAnsi="Verdana"/>
          <w:b/>
          <w:i/>
          <w:sz w:val="20"/>
          <w:szCs w:val="20"/>
        </w:rPr>
      </w:pPr>
      <w:r>
        <w:rPr>
          <w:rFonts w:ascii="Verdana" w:hAnsi="Verdana"/>
          <w:b/>
          <w:color w:val="FF6699"/>
          <w:sz w:val="16"/>
          <w:szCs w:val="16"/>
        </w:rPr>
        <w:t>Fracción reformada P.O. 04-09-2009</w:t>
      </w:r>
    </w:p>
    <w:p w:rsidR="00201E94" w:rsidRDefault="00201E94" w:rsidP="00201E94">
      <w:pPr>
        <w:pStyle w:val="TextoCar"/>
        <w:spacing w:after="0" w:line="240" w:lineRule="auto"/>
        <w:ind w:left="720" w:hanging="720"/>
        <w:rPr>
          <w:rFonts w:ascii="Verdana" w:hAnsi="Verdana"/>
          <w:sz w:val="20"/>
          <w:szCs w:val="20"/>
        </w:rPr>
      </w:pPr>
    </w:p>
    <w:p w:rsidR="00201E94" w:rsidRDefault="00201E94" w:rsidP="00201E94">
      <w:pPr>
        <w:pStyle w:val="TextoCar"/>
        <w:numPr>
          <w:ilvl w:val="0"/>
          <w:numId w:val="2"/>
        </w:numPr>
        <w:spacing w:after="0" w:line="240" w:lineRule="auto"/>
        <w:ind w:hanging="720"/>
        <w:rPr>
          <w:rFonts w:ascii="Verdana" w:hAnsi="Verdana"/>
          <w:sz w:val="20"/>
          <w:szCs w:val="20"/>
        </w:rPr>
      </w:pPr>
      <w:r>
        <w:rPr>
          <w:rFonts w:ascii="Verdana" w:hAnsi="Verdana"/>
          <w:sz w:val="20"/>
          <w:szCs w:val="20"/>
        </w:rPr>
        <w:t xml:space="preserve">Generar las condiciones económicas, sociales, culturales y políticas que favorezcan integralmente el desarrollo humano de la población; </w:t>
      </w:r>
    </w:p>
    <w:p w:rsidR="00201E94" w:rsidRDefault="00201E94" w:rsidP="00201E94">
      <w:pPr>
        <w:pStyle w:val="TextoCar"/>
        <w:spacing w:after="0" w:line="240" w:lineRule="auto"/>
        <w:ind w:left="720" w:hanging="720"/>
        <w:rPr>
          <w:rFonts w:ascii="Verdana" w:hAnsi="Verdana"/>
          <w:sz w:val="20"/>
          <w:szCs w:val="20"/>
        </w:rPr>
      </w:pPr>
    </w:p>
    <w:p w:rsidR="00201E94" w:rsidRDefault="00201E94" w:rsidP="00201E94">
      <w:pPr>
        <w:pStyle w:val="TextoCar"/>
        <w:numPr>
          <w:ilvl w:val="0"/>
          <w:numId w:val="2"/>
        </w:numPr>
        <w:spacing w:after="0" w:line="240" w:lineRule="auto"/>
        <w:ind w:hanging="720"/>
        <w:rPr>
          <w:rFonts w:ascii="Verdana" w:hAnsi="Verdana"/>
          <w:sz w:val="20"/>
          <w:szCs w:val="20"/>
        </w:rPr>
      </w:pPr>
      <w:r>
        <w:rPr>
          <w:rFonts w:ascii="Verdana" w:hAnsi="Verdana"/>
          <w:sz w:val="20"/>
          <w:szCs w:val="20"/>
        </w:rPr>
        <w:t>Instituir un Sistema Estatal para el Desarrollo Social y Humano;</w:t>
      </w:r>
    </w:p>
    <w:p w:rsidR="00201E94" w:rsidRDefault="00201E94" w:rsidP="00201E94">
      <w:pPr>
        <w:pStyle w:val="TextoCar"/>
        <w:spacing w:after="0" w:line="240" w:lineRule="auto"/>
        <w:ind w:left="720" w:hanging="720"/>
        <w:rPr>
          <w:rFonts w:ascii="Verdana" w:hAnsi="Verdana"/>
          <w:sz w:val="20"/>
          <w:szCs w:val="20"/>
        </w:rPr>
      </w:pPr>
    </w:p>
    <w:p w:rsidR="00201E94" w:rsidRDefault="00201E94" w:rsidP="00201E94">
      <w:pPr>
        <w:pStyle w:val="TextoCar"/>
        <w:numPr>
          <w:ilvl w:val="0"/>
          <w:numId w:val="2"/>
        </w:numPr>
        <w:spacing w:after="0" w:line="240" w:lineRule="auto"/>
        <w:ind w:hanging="720"/>
        <w:rPr>
          <w:rFonts w:ascii="Verdana" w:hAnsi="Verdana"/>
          <w:sz w:val="20"/>
          <w:szCs w:val="20"/>
        </w:rPr>
      </w:pPr>
      <w:r>
        <w:rPr>
          <w:rFonts w:ascii="Verdana" w:hAnsi="Verdana"/>
          <w:sz w:val="20"/>
          <w:szCs w:val="20"/>
        </w:rPr>
        <w:t>Promover acciones que propicien el desarrollo social de la familia;</w:t>
      </w:r>
    </w:p>
    <w:p w:rsidR="00201E94" w:rsidRDefault="00201E94" w:rsidP="00201E94">
      <w:pPr>
        <w:pStyle w:val="TextoCar"/>
        <w:spacing w:after="0" w:line="240" w:lineRule="auto"/>
        <w:ind w:left="720" w:hanging="720"/>
        <w:rPr>
          <w:rFonts w:ascii="Verdana" w:hAnsi="Verdana"/>
          <w:sz w:val="20"/>
          <w:szCs w:val="20"/>
        </w:rPr>
      </w:pPr>
    </w:p>
    <w:p w:rsidR="00201E94" w:rsidRDefault="00201E94" w:rsidP="00201E94">
      <w:pPr>
        <w:pStyle w:val="TextoCar"/>
        <w:numPr>
          <w:ilvl w:val="0"/>
          <w:numId w:val="2"/>
        </w:numPr>
        <w:spacing w:after="0" w:line="240" w:lineRule="auto"/>
        <w:ind w:hanging="720"/>
        <w:rPr>
          <w:rFonts w:ascii="Verdana" w:hAnsi="Verdana"/>
          <w:sz w:val="20"/>
          <w:szCs w:val="20"/>
        </w:rPr>
      </w:pPr>
      <w:r>
        <w:rPr>
          <w:rFonts w:ascii="Verdana" w:hAnsi="Verdana"/>
          <w:sz w:val="20"/>
          <w:szCs w:val="20"/>
        </w:rPr>
        <w:t xml:space="preserve">Fomentar el sector social de la economía; </w:t>
      </w:r>
    </w:p>
    <w:p w:rsidR="00201E94" w:rsidRDefault="00201E94" w:rsidP="00201E94">
      <w:pPr>
        <w:pStyle w:val="TextoCar"/>
        <w:spacing w:after="0" w:line="240" w:lineRule="auto"/>
        <w:ind w:firstLine="0"/>
        <w:jc w:val="right"/>
        <w:rPr>
          <w:rFonts w:ascii="Verdana" w:hAnsi="Verdana"/>
          <w:b/>
          <w:i/>
          <w:sz w:val="20"/>
          <w:szCs w:val="20"/>
        </w:rPr>
      </w:pPr>
      <w:r>
        <w:rPr>
          <w:rFonts w:ascii="Verdana" w:hAnsi="Verdana"/>
          <w:b/>
          <w:color w:val="FF6699"/>
          <w:sz w:val="16"/>
          <w:szCs w:val="16"/>
        </w:rPr>
        <w:t>Fracción reformada P.O. 04-09-2009</w:t>
      </w:r>
    </w:p>
    <w:p w:rsidR="00201E94" w:rsidRDefault="00201E94" w:rsidP="00201E94">
      <w:pPr>
        <w:pStyle w:val="TextoCar"/>
        <w:spacing w:after="0" w:line="240" w:lineRule="auto"/>
        <w:ind w:left="720" w:hanging="720"/>
        <w:rPr>
          <w:rFonts w:ascii="Verdana" w:hAnsi="Verdana"/>
          <w:b/>
          <w:bCs/>
          <w:sz w:val="20"/>
          <w:szCs w:val="20"/>
        </w:rPr>
      </w:pPr>
    </w:p>
    <w:p w:rsidR="00201E94" w:rsidRDefault="00201E94" w:rsidP="00201E94">
      <w:pPr>
        <w:pStyle w:val="TextoCar"/>
        <w:numPr>
          <w:ilvl w:val="0"/>
          <w:numId w:val="2"/>
        </w:numPr>
        <w:spacing w:after="0" w:line="240" w:lineRule="auto"/>
        <w:ind w:hanging="720"/>
        <w:rPr>
          <w:rFonts w:ascii="Verdana" w:hAnsi="Verdana"/>
          <w:sz w:val="20"/>
          <w:szCs w:val="20"/>
        </w:rPr>
      </w:pPr>
      <w:r>
        <w:rPr>
          <w:rFonts w:ascii="Verdana" w:hAnsi="Verdana"/>
          <w:sz w:val="20"/>
          <w:szCs w:val="20"/>
        </w:rPr>
        <w:t>Regular y garantizar la prestación de los bienes y servicios contenidos en los programas;</w:t>
      </w:r>
    </w:p>
    <w:p w:rsidR="00201E94" w:rsidRDefault="00201E94" w:rsidP="00201E94">
      <w:pPr>
        <w:pStyle w:val="TextoCar"/>
        <w:spacing w:after="0" w:line="240" w:lineRule="auto"/>
        <w:ind w:firstLine="0"/>
        <w:jc w:val="right"/>
        <w:rPr>
          <w:rFonts w:ascii="Verdana" w:hAnsi="Verdana"/>
          <w:b/>
          <w:i/>
          <w:sz w:val="20"/>
          <w:szCs w:val="20"/>
        </w:rPr>
      </w:pPr>
      <w:r>
        <w:rPr>
          <w:rFonts w:ascii="Verdana" w:hAnsi="Verdana"/>
          <w:b/>
          <w:color w:val="FF6699"/>
          <w:sz w:val="16"/>
          <w:szCs w:val="16"/>
        </w:rPr>
        <w:t>Fracción reformada P.O. 04-09-2009</w:t>
      </w:r>
    </w:p>
    <w:p w:rsidR="00201E94" w:rsidRDefault="00201E94" w:rsidP="00201E94">
      <w:pPr>
        <w:pStyle w:val="TextoCar"/>
        <w:spacing w:after="0" w:line="240" w:lineRule="auto"/>
        <w:ind w:left="720" w:hanging="720"/>
        <w:rPr>
          <w:rFonts w:ascii="Verdana" w:hAnsi="Verdana"/>
          <w:sz w:val="20"/>
          <w:szCs w:val="20"/>
        </w:rPr>
      </w:pPr>
    </w:p>
    <w:p w:rsidR="00201E94" w:rsidRDefault="00201E94" w:rsidP="00201E94">
      <w:pPr>
        <w:pStyle w:val="TextoCar"/>
        <w:numPr>
          <w:ilvl w:val="0"/>
          <w:numId w:val="2"/>
        </w:numPr>
        <w:spacing w:after="0" w:line="240" w:lineRule="auto"/>
        <w:ind w:hanging="720"/>
        <w:rPr>
          <w:rFonts w:ascii="Verdana" w:hAnsi="Verdana"/>
          <w:sz w:val="20"/>
          <w:szCs w:val="20"/>
        </w:rPr>
      </w:pPr>
      <w:r>
        <w:rPr>
          <w:rFonts w:ascii="Verdana" w:hAnsi="Verdana"/>
          <w:sz w:val="20"/>
          <w:szCs w:val="20"/>
        </w:rPr>
        <w:t>Fomentar la organización y participación ciudadana para el desarrollo social y humano, y</w:t>
      </w:r>
    </w:p>
    <w:p w:rsidR="00201E94" w:rsidRDefault="00201E94" w:rsidP="00201E94">
      <w:pPr>
        <w:pStyle w:val="TextoCar"/>
        <w:spacing w:after="0" w:line="240" w:lineRule="auto"/>
        <w:ind w:firstLine="0"/>
        <w:jc w:val="right"/>
        <w:rPr>
          <w:rFonts w:ascii="Verdana" w:hAnsi="Verdana"/>
          <w:b/>
          <w:i/>
          <w:sz w:val="20"/>
          <w:szCs w:val="20"/>
        </w:rPr>
      </w:pPr>
      <w:r>
        <w:rPr>
          <w:rFonts w:ascii="Verdana" w:hAnsi="Verdana"/>
          <w:b/>
          <w:color w:val="FF6699"/>
          <w:sz w:val="16"/>
          <w:szCs w:val="16"/>
        </w:rPr>
        <w:t>Fracción reformada P.O. 04-09-2009</w:t>
      </w:r>
    </w:p>
    <w:p w:rsidR="00201E94" w:rsidRDefault="00201E94" w:rsidP="00201E94">
      <w:pPr>
        <w:pStyle w:val="TextoCar"/>
        <w:spacing w:after="0" w:line="240" w:lineRule="auto"/>
        <w:ind w:left="720" w:hanging="720"/>
        <w:rPr>
          <w:rFonts w:ascii="Verdana" w:hAnsi="Verdana"/>
          <w:sz w:val="20"/>
          <w:szCs w:val="20"/>
        </w:rPr>
      </w:pPr>
    </w:p>
    <w:p w:rsidR="00201E94" w:rsidRDefault="00201E94" w:rsidP="00201E94">
      <w:pPr>
        <w:pStyle w:val="TextoCar"/>
        <w:numPr>
          <w:ilvl w:val="0"/>
          <w:numId w:val="2"/>
        </w:numPr>
        <w:spacing w:after="0" w:line="240" w:lineRule="auto"/>
        <w:ind w:hanging="720"/>
        <w:rPr>
          <w:rFonts w:ascii="Verdana" w:hAnsi="Verdana"/>
          <w:sz w:val="20"/>
          <w:szCs w:val="20"/>
        </w:rPr>
      </w:pPr>
      <w:r>
        <w:rPr>
          <w:rFonts w:ascii="Verdana" w:hAnsi="Verdana"/>
          <w:sz w:val="20"/>
          <w:szCs w:val="20"/>
        </w:rPr>
        <w:t>Establecer mecanismos de evaluación de los programas y acciones de la política pública estatal.</w:t>
      </w:r>
    </w:p>
    <w:p w:rsidR="00201E94" w:rsidRDefault="00201E94" w:rsidP="00DE6991">
      <w:pPr>
        <w:rPr>
          <w:rFonts w:ascii="Verdana" w:hAnsi="Verdana"/>
          <w:sz w:val="20"/>
          <w:szCs w:val="20"/>
        </w:rPr>
      </w:pPr>
    </w:p>
    <w:p w:rsidR="00201E94" w:rsidRDefault="00201E94" w:rsidP="00201E94">
      <w:pPr>
        <w:pStyle w:val="TextoCar"/>
        <w:spacing w:after="0" w:line="240" w:lineRule="auto"/>
        <w:ind w:firstLine="0"/>
        <w:jc w:val="center"/>
        <w:rPr>
          <w:rFonts w:ascii="Verdana" w:hAnsi="Verdana"/>
          <w:b/>
          <w:sz w:val="20"/>
          <w:szCs w:val="20"/>
        </w:rPr>
      </w:pPr>
      <w:r>
        <w:rPr>
          <w:rFonts w:ascii="Verdana" w:hAnsi="Verdana"/>
          <w:b/>
          <w:sz w:val="20"/>
          <w:szCs w:val="20"/>
        </w:rPr>
        <w:t>Capítulo II</w:t>
      </w:r>
    </w:p>
    <w:p w:rsidR="00201E94" w:rsidRDefault="00201E94" w:rsidP="00201E94">
      <w:pPr>
        <w:rPr>
          <w:rFonts w:ascii="Verdana" w:hAnsi="Verdana"/>
          <w:sz w:val="20"/>
          <w:szCs w:val="20"/>
        </w:rPr>
      </w:pPr>
      <w:r>
        <w:rPr>
          <w:rFonts w:ascii="Verdana" w:hAnsi="Verdana"/>
          <w:b/>
          <w:sz w:val="20"/>
          <w:szCs w:val="20"/>
        </w:rPr>
        <w:t>De la Competencia</w:t>
      </w:r>
    </w:p>
    <w:p w:rsidR="00201E94" w:rsidRDefault="00201E94" w:rsidP="00DE6991">
      <w:pPr>
        <w:rPr>
          <w:rFonts w:ascii="Verdana" w:hAnsi="Verdana"/>
          <w:sz w:val="20"/>
          <w:szCs w:val="20"/>
        </w:rPr>
      </w:pPr>
    </w:p>
    <w:p w:rsidR="00DE6991" w:rsidRDefault="00DE6991" w:rsidP="00DE6991">
      <w:pPr>
        <w:pStyle w:val="TextoCar"/>
        <w:numPr>
          <w:ilvl w:val="0"/>
          <w:numId w:val="1"/>
        </w:numPr>
        <w:spacing w:after="0" w:line="240" w:lineRule="auto"/>
        <w:ind w:left="709" w:hanging="709"/>
        <w:rPr>
          <w:rFonts w:ascii="Verdana" w:hAnsi="Verdana"/>
          <w:sz w:val="20"/>
          <w:szCs w:val="20"/>
        </w:rPr>
      </w:pPr>
      <w:r>
        <w:rPr>
          <w:rFonts w:ascii="Verdana" w:hAnsi="Verdana"/>
          <w:sz w:val="20"/>
          <w:szCs w:val="20"/>
        </w:rPr>
        <w:t xml:space="preserve">Los Ayuntamientos, por conducto del área encargada del desarrollo social municipal, así como las dependencias y entidades que integran la administración pública municipal, en el ámbito de sus respectivas competencias. </w:t>
      </w:r>
    </w:p>
    <w:p w:rsidR="00DE6991" w:rsidRDefault="00DE6991" w:rsidP="00DE6991">
      <w:pPr>
        <w:pStyle w:val="TextoCar"/>
        <w:spacing w:after="0" w:line="240" w:lineRule="auto"/>
        <w:ind w:firstLine="709"/>
        <w:rPr>
          <w:rFonts w:ascii="Verdana" w:hAnsi="Verdana"/>
          <w:sz w:val="20"/>
          <w:szCs w:val="20"/>
        </w:rPr>
      </w:pPr>
    </w:p>
    <w:p w:rsidR="005141FD" w:rsidRDefault="00DE6991" w:rsidP="00201E94">
      <w:pPr>
        <w:pStyle w:val="TextoCar"/>
        <w:spacing w:after="0" w:line="240" w:lineRule="auto"/>
        <w:ind w:firstLine="709"/>
        <w:rPr>
          <w:rFonts w:ascii="Verdana" w:hAnsi="Verdana"/>
          <w:sz w:val="20"/>
          <w:szCs w:val="20"/>
        </w:rPr>
      </w:pPr>
      <w:r>
        <w:rPr>
          <w:rFonts w:ascii="Verdana" w:hAnsi="Verdana"/>
          <w:sz w:val="20"/>
          <w:szCs w:val="20"/>
        </w:rPr>
        <w:t>Las autoridades estatales y municipales ejercerán sus atribuciones de manera coordinada, de conformidad con lo previsto en esta Ley.</w:t>
      </w:r>
    </w:p>
    <w:p w:rsidR="00011DB8" w:rsidRDefault="00011DB8" w:rsidP="00201E94">
      <w:pPr>
        <w:pStyle w:val="TextoCar"/>
        <w:spacing w:after="0" w:line="240" w:lineRule="auto"/>
        <w:ind w:firstLine="709"/>
        <w:rPr>
          <w:rFonts w:ascii="Verdana" w:hAnsi="Verdana"/>
          <w:sz w:val="20"/>
          <w:szCs w:val="20"/>
        </w:rPr>
      </w:pPr>
      <w:bookmarkStart w:id="0" w:name="_GoBack"/>
      <w:bookmarkEnd w:id="0"/>
    </w:p>
    <w:p w:rsidR="00682B32" w:rsidRDefault="00682B32" w:rsidP="00682B32">
      <w:pPr>
        <w:jc w:val="center"/>
        <w:rPr>
          <w:rFonts w:ascii="Verdana" w:hAnsi="Verdana"/>
          <w:b/>
          <w:bCs/>
          <w:sz w:val="20"/>
          <w:lang w:val="es-ES_tradnl" w:eastAsia="en-US"/>
        </w:rPr>
      </w:pPr>
      <w:r>
        <w:rPr>
          <w:rFonts w:ascii="Verdana" w:hAnsi="Verdana"/>
          <w:b/>
          <w:bCs/>
          <w:sz w:val="20"/>
          <w:lang w:val="es-ES_tradnl"/>
        </w:rPr>
        <w:t>Capítulo Segundo</w:t>
      </w:r>
    </w:p>
    <w:p w:rsidR="00682B32" w:rsidRDefault="00682B32" w:rsidP="00682B32">
      <w:pPr>
        <w:jc w:val="center"/>
        <w:rPr>
          <w:rFonts w:ascii="Verdana" w:hAnsi="Verdana"/>
          <w:b/>
          <w:bCs/>
          <w:sz w:val="20"/>
          <w:lang w:val="es-ES_tradnl"/>
        </w:rPr>
      </w:pPr>
      <w:r>
        <w:rPr>
          <w:rFonts w:ascii="Verdana" w:hAnsi="Verdana"/>
          <w:b/>
          <w:bCs/>
          <w:sz w:val="20"/>
          <w:lang w:val="es-ES_tradnl"/>
        </w:rPr>
        <w:t>De la Administración Pública Centralizada</w:t>
      </w:r>
    </w:p>
    <w:p w:rsidR="00682B32" w:rsidRDefault="00682B32" w:rsidP="00682B32">
      <w:pPr>
        <w:jc w:val="center"/>
        <w:rPr>
          <w:rFonts w:ascii="Verdana" w:hAnsi="Verdana"/>
          <w:b/>
          <w:bCs/>
          <w:sz w:val="20"/>
          <w:lang w:val="es-ES_tradnl"/>
        </w:rPr>
      </w:pPr>
    </w:p>
    <w:p w:rsidR="00682B32" w:rsidRDefault="00682B32" w:rsidP="00682B32">
      <w:pPr>
        <w:jc w:val="both"/>
        <w:rPr>
          <w:rFonts w:ascii="Verdana" w:hAnsi="Verdana" w:cs="Arial"/>
          <w:sz w:val="20"/>
          <w:lang w:val="es-ES_tradnl"/>
        </w:rPr>
      </w:pPr>
      <w:r>
        <w:rPr>
          <w:rFonts w:ascii="Verdana" w:hAnsi="Verdana"/>
          <w:b/>
          <w:bCs/>
          <w:sz w:val="20"/>
          <w:lang w:val="es-ES_tradnl"/>
        </w:rPr>
        <w:t>ARTÍCULO</w:t>
      </w:r>
      <w:r>
        <w:rPr>
          <w:rFonts w:ascii="Verdana" w:hAnsi="Verdana"/>
          <w:sz w:val="20"/>
          <w:lang w:val="es-ES_tradnl"/>
        </w:rPr>
        <w:t xml:space="preserve"> </w:t>
      </w:r>
      <w:r>
        <w:rPr>
          <w:rFonts w:ascii="Verdana" w:hAnsi="Verdana"/>
          <w:b/>
          <w:bCs/>
          <w:sz w:val="20"/>
          <w:lang w:val="es-ES_tradnl"/>
        </w:rPr>
        <w:t>110.</w:t>
      </w:r>
      <w:r>
        <w:rPr>
          <w:rFonts w:ascii="Verdana" w:hAnsi="Verdana"/>
          <w:sz w:val="20"/>
          <w:lang w:val="es-ES_tradnl"/>
        </w:rPr>
        <w:t xml:space="preserve"> </w:t>
      </w:r>
      <w:r>
        <w:rPr>
          <w:rFonts w:ascii="Verdana" w:hAnsi="Verdana" w:cs="Arial"/>
          <w:sz w:val="20"/>
          <w:lang w:val="es-ES_tradnl"/>
        </w:rPr>
        <w:t>Para el estudio y despacho de los diversos ramos de la administración pública municipal, el Ayuntamiento establecerá las siguientes dependencias:</w:t>
      </w:r>
    </w:p>
    <w:p w:rsidR="00682B32" w:rsidRDefault="00682B32" w:rsidP="00682B32">
      <w:pPr>
        <w:jc w:val="both"/>
        <w:rPr>
          <w:rFonts w:ascii="Verdana" w:hAnsi="Verdana" w:cs="Arial"/>
          <w:sz w:val="20"/>
          <w:lang w:val="es-ES_tradnl"/>
        </w:rPr>
      </w:pPr>
    </w:p>
    <w:p w:rsidR="00682B32" w:rsidRDefault="00682B32" w:rsidP="00682B32">
      <w:pPr>
        <w:jc w:val="both"/>
        <w:rPr>
          <w:rFonts w:ascii="Verdana" w:hAnsi="Verdana" w:cs="Arial"/>
          <w:sz w:val="20"/>
          <w:lang w:val="es-ES_tradnl"/>
        </w:rPr>
      </w:pPr>
      <w:r>
        <w:rPr>
          <w:rFonts w:ascii="Verdana" w:hAnsi="Verdana" w:cs="Arial"/>
          <w:sz w:val="20"/>
          <w:lang w:val="es-ES_tradnl"/>
        </w:rPr>
        <w:t>I. Secretaría del Ayuntamiento;</w:t>
      </w:r>
    </w:p>
    <w:p w:rsidR="00682B32" w:rsidRDefault="00682B32" w:rsidP="00682B32">
      <w:pPr>
        <w:jc w:val="both"/>
        <w:rPr>
          <w:rFonts w:ascii="Verdana" w:hAnsi="Verdana" w:cs="Arial"/>
          <w:sz w:val="20"/>
          <w:lang w:val="es-ES_tradnl"/>
        </w:rPr>
      </w:pPr>
    </w:p>
    <w:p w:rsidR="00682B32" w:rsidRDefault="00682B32" w:rsidP="00682B32">
      <w:pPr>
        <w:jc w:val="both"/>
        <w:rPr>
          <w:rFonts w:ascii="Verdana" w:hAnsi="Verdana" w:cs="Arial"/>
          <w:sz w:val="20"/>
          <w:lang w:val="es-ES_tradnl"/>
        </w:rPr>
      </w:pPr>
      <w:r>
        <w:rPr>
          <w:rFonts w:ascii="Verdana" w:hAnsi="Verdana" w:cs="Arial"/>
          <w:sz w:val="20"/>
          <w:lang w:val="es-ES_tradnl"/>
        </w:rPr>
        <w:t>II. Tesorería Municipal;</w:t>
      </w:r>
    </w:p>
    <w:p w:rsidR="00682B32" w:rsidRDefault="00682B32" w:rsidP="00682B32">
      <w:pPr>
        <w:jc w:val="both"/>
        <w:rPr>
          <w:rFonts w:ascii="Verdana" w:hAnsi="Verdana" w:cs="Arial"/>
          <w:sz w:val="20"/>
          <w:lang w:val="es-ES_tradnl"/>
        </w:rPr>
      </w:pPr>
    </w:p>
    <w:p w:rsidR="00682B32" w:rsidRDefault="00682B32" w:rsidP="00682B32">
      <w:pPr>
        <w:jc w:val="both"/>
        <w:rPr>
          <w:rFonts w:ascii="Verdana" w:hAnsi="Verdana" w:cs="Arial"/>
          <w:sz w:val="20"/>
          <w:lang w:val="es-ES_tradnl"/>
        </w:rPr>
      </w:pPr>
      <w:r>
        <w:rPr>
          <w:rFonts w:ascii="Verdana" w:hAnsi="Verdana" w:cs="Arial"/>
          <w:sz w:val="20"/>
          <w:lang w:val="es-ES_tradnl"/>
        </w:rPr>
        <w:t>III. Contraloría Municipal;</w:t>
      </w:r>
    </w:p>
    <w:p w:rsidR="00682B32" w:rsidRDefault="00682B32" w:rsidP="00682B32">
      <w:pPr>
        <w:jc w:val="both"/>
        <w:rPr>
          <w:rFonts w:ascii="Verdana" w:hAnsi="Verdana" w:cs="Arial"/>
          <w:sz w:val="20"/>
          <w:lang w:val="es-ES_tradnl"/>
        </w:rPr>
      </w:pPr>
    </w:p>
    <w:p w:rsidR="00682B32" w:rsidRDefault="00682B32" w:rsidP="00682B32">
      <w:pPr>
        <w:jc w:val="both"/>
        <w:rPr>
          <w:rFonts w:ascii="Verdana" w:hAnsi="Verdana"/>
          <w:sz w:val="20"/>
          <w:lang w:val="es-ES_tradnl"/>
        </w:rPr>
      </w:pPr>
      <w:r>
        <w:rPr>
          <w:rFonts w:ascii="Verdana" w:hAnsi="Verdana"/>
          <w:sz w:val="20"/>
          <w:lang w:val="es-ES_tradnl"/>
        </w:rPr>
        <w:t>IV. Obra Pública;</w:t>
      </w:r>
    </w:p>
    <w:p w:rsidR="00682B32" w:rsidRDefault="00682B32" w:rsidP="00682B32">
      <w:pPr>
        <w:jc w:val="both"/>
        <w:rPr>
          <w:rFonts w:ascii="Verdana" w:hAnsi="Verdana" w:cs="Arial"/>
          <w:sz w:val="20"/>
          <w:lang w:val="es-ES_tradnl"/>
        </w:rPr>
      </w:pPr>
      <w:r>
        <w:rPr>
          <w:rFonts w:ascii="Verdana" w:hAnsi="Verdana" w:cs="Arial"/>
          <w:sz w:val="20"/>
          <w:lang w:val="es-ES_tradnl"/>
        </w:rPr>
        <w:t>(Fracción reformada. P.O. 28 de diciembre de 1999)</w:t>
      </w:r>
    </w:p>
    <w:p w:rsidR="00682B32" w:rsidRDefault="00682B32" w:rsidP="00682B32">
      <w:pPr>
        <w:jc w:val="both"/>
        <w:rPr>
          <w:rFonts w:ascii="Verdana" w:hAnsi="Verdana"/>
          <w:sz w:val="20"/>
          <w:lang w:val="es-ES_tradnl"/>
        </w:rPr>
      </w:pPr>
    </w:p>
    <w:p w:rsidR="00682B32" w:rsidRDefault="00682B32" w:rsidP="00682B32">
      <w:pPr>
        <w:jc w:val="both"/>
        <w:rPr>
          <w:rFonts w:ascii="Verdana" w:hAnsi="Verdana"/>
          <w:sz w:val="20"/>
          <w:lang w:val="es-ES_tradnl"/>
        </w:rPr>
      </w:pPr>
      <w:r>
        <w:rPr>
          <w:rFonts w:ascii="Verdana" w:hAnsi="Verdana"/>
          <w:sz w:val="20"/>
          <w:lang w:val="es-ES_tradnl"/>
        </w:rPr>
        <w:t>V. Servicios Municipales;</w:t>
      </w:r>
    </w:p>
    <w:p w:rsidR="00682B32" w:rsidRDefault="00682B32" w:rsidP="00682B32">
      <w:pPr>
        <w:jc w:val="both"/>
        <w:rPr>
          <w:rFonts w:ascii="Verdana" w:hAnsi="Verdana" w:cs="Arial"/>
          <w:sz w:val="20"/>
          <w:lang w:val="es-ES_tradnl"/>
        </w:rPr>
      </w:pPr>
      <w:r>
        <w:rPr>
          <w:rFonts w:ascii="Verdana" w:hAnsi="Verdana" w:cs="Arial"/>
          <w:sz w:val="20"/>
          <w:lang w:val="es-ES_tradnl"/>
        </w:rPr>
        <w:t>(Fracción adicionada. P.O. 28 de diciembre de 1999)</w:t>
      </w:r>
    </w:p>
    <w:p w:rsidR="00682B32" w:rsidRDefault="00682B32" w:rsidP="00682B32">
      <w:pPr>
        <w:jc w:val="both"/>
        <w:rPr>
          <w:rFonts w:ascii="Verdana" w:hAnsi="Verdana"/>
          <w:sz w:val="20"/>
          <w:lang w:val="es-ES_tradnl"/>
        </w:rPr>
      </w:pPr>
    </w:p>
    <w:p w:rsidR="00682B32" w:rsidRDefault="00682B32" w:rsidP="00682B32">
      <w:pPr>
        <w:jc w:val="both"/>
        <w:rPr>
          <w:rFonts w:ascii="Verdana" w:hAnsi="Verdana" w:cs="Arial"/>
          <w:sz w:val="20"/>
          <w:lang w:val="es-ES_tradnl"/>
        </w:rPr>
      </w:pPr>
      <w:r>
        <w:rPr>
          <w:rFonts w:ascii="Verdana" w:hAnsi="Verdana" w:cs="Arial"/>
          <w:sz w:val="20"/>
          <w:lang w:val="es-ES_tradnl"/>
        </w:rPr>
        <w:t>VI. Desarrollo Social;</w:t>
      </w:r>
    </w:p>
    <w:p w:rsidR="00682B32" w:rsidRDefault="00682B32" w:rsidP="00682B32">
      <w:pPr>
        <w:jc w:val="both"/>
        <w:rPr>
          <w:rFonts w:ascii="Verdana" w:hAnsi="Verdana" w:cs="Arial"/>
          <w:sz w:val="20"/>
          <w:lang w:val="es-ES_tradnl"/>
        </w:rPr>
      </w:pPr>
      <w:r>
        <w:rPr>
          <w:rFonts w:ascii="Verdana" w:hAnsi="Verdana" w:cs="Arial"/>
          <w:sz w:val="20"/>
          <w:lang w:val="es-ES_tradnl"/>
        </w:rPr>
        <w:t>(Fracción adicionada. P.O. 28 de diciembre de 1999)</w:t>
      </w:r>
    </w:p>
    <w:p w:rsidR="00682B32" w:rsidRDefault="00682B32" w:rsidP="00201E94">
      <w:pPr>
        <w:pStyle w:val="TextoCar"/>
        <w:spacing w:after="0" w:line="240" w:lineRule="auto"/>
        <w:ind w:firstLine="709"/>
        <w:rPr>
          <w:rFonts w:ascii="Verdana" w:hAnsi="Verdana"/>
          <w:sz w:val="20"/>
          <w:szCs w:val="20"/>
        </w:rPr>
      </w:pPr>
    </w:p>
    <w:sectPr w:rsidR="00682B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6CA2"/>
    <w:multiLevelType w:val="hybridMultilevel"/>
    <w:tmpl w:val="BA7A7110"/>
    <w:lvl w:ilvl="0" w:tplc="9686303A">
      <w:start w:val="1"/>
      <w:numFmt w:val="upperRoman"/>
      <w:lvlText w:val="%1."/>
      <w:lvlJc w:val="left"/>
      <w:pPr>
        <w:snapToGrid/>
        <w:ind w:left="1429" w:hanging="360"/>
      </w:pPr>
      <w:rPr>
        <w:rFonts w:ascii="Verdana" w:hAnsi="Verdana" w:cs="Tahoma" w:hint="default"/>
        <w:b/>
        <w:bCs/>
        <w:i w:val="0"/>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1" w15:restartNumberingAfterBreak="0">
    <w:nsid w:val="68D63436"/>
    <w:multiLevelType w:val="hybridMultilevel"/>
    <w:tmpl w:val="793C6BC0"/>
    <w:lvl w:ilvl="0" w:tplc="9686303A">
      <w:start w:val="1"/>
      <w:numFmt w:val="upperRoman"/>
      <w:lvlText w:val="%1."/>
      <w:lvlJc w:val="left"/>
      <w:pPr>
        <w:snapToGrid/>
        <w:ind w:left="720" w:hanging="360"/>
      </w:pPr>
      <w:rPr>
        <w:rFonts w:ascii="Verdana" w:hAnsi="Verdana" w:cs="Tahoma" w:hint="default"/>
        <w:b/>
        <w:bCs/>
        <w:i w:val="0"/>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B1"/>
    <w:rsid w:val="00011DB8"/>
    <w:rsid w:val="00201E94"/>
    <w:rsid w:val="00682B32"/>
    <w:rsid w:val="00713853"/>
    <w:rsid w:val="007F4BA4"/>
    <w:rsid w:val="00A9546D"/>
    <w:rsid w:val="00DE6991"/>
    <w:rsid w:val="00E82A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326D"/>
  <w15:chartTrackingRefBased/>
  <w15:docId w15:val="{21ACDCD8-5692-4963-A29F-995E0BE3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
    <w:name w:val="Texto Car"/>
    <w:basedOn w:val="Normal"/>
    <w:rsid w:val="00E82AB1"/>
    <w:pPr>
      <w:spacing w:after="101" w:line="216" w:lineRule="exact"/>
      <w:ind w:firstLine="288"/>
      <w:jc w:val="both"/>
    </w:pPr>
    <w:rPr>
      <w:rFonts w:ascii="Arial" w:hAnsi="Arial" w:cs="Arial"/>
      <w:sz w:val="18"/>
      <w:szCs w:val="18"/>
    </w:rPr>
  </w:style>
  <w:style w:type="paragraph" w:styleId="Textodeglobo">
    <w:name w:val="Balloon Text"/>
    <w:basedOn w:val="Normal"/>
    <w:link w:val="TextodegloboCar"/>
    <w:uiPriority w:val="99"/>
    <w:semiHidden/>
    <w:unhideWhenUsed/>
    <w:rsid w:val="00E82A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AB1"/>
    <w:rPr>
      <w:rFonts w:ascii="Segoe UI" w:eastAsia="Times New Roman" w:hAnsi="Segoe UI" w:cs="Segoe UI"/>
      <w:sz w:val="18"/>
      <w:szCs w:val="18"/>
      <w:lang w:val="es-ES" w:eastAsia="es-ES"/>
    </w:rPr>
  </w:style>
  <w:style w:type="paragraph" w:styleId="Prrafodelista">
    <w:name w:val="List Paragraph"/>
    <w:basedOn w:val="Normal"/>
    <w:qFormat/>
    <w:rsid w:val="00201E9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63056">
      <w:bodyDiv w:val="1"/>
      <w:marLeft w:val="0"/>
      <w:marRight w:val="0"/>
      <w:marTop w:val="0"/>
      <w:marBottom w:val="0"/>
      <w:divBdr>
        <w:top w:val="none" w:sz="0" w:space="0" w:color="auto"/>
        <w:left w:val="none" w:sz="0" w:space="0" w:color="auto"/>
        <w:bottom w:val="none" w:sz="0" w:space="0" w:color="auto"/>
        <w:right w:val="none" w:sz="0" w:space="0" w:color="auto"/>
      </w:divBdr>
    </w:div>
    <w:div w:id="1693913813">
      <w:bodyDiv w:val="1"/>
      <w:marLeft w:val="0"/>
      <w:marRight w:val="0"/>
      <w:marTop w:val="0"/>
      <w:marBottom w:val="0"/>
      <w:divBdr>
        <w:top w:val="none" w:sz="0" w:space="0" w:color="auto"/>
        <w:left w:val="none" w:sz="0" w:space="0" w:color="auto"/>
        <w:bottom w:val="none" w:sz="0" w:space="0" w:color="auto"/>
        <w:right w:val="none" w:sz="0" w:space="0" w:color="auto"/>
      </w:divBdr>
    </w:div>
    <w:div w:id="1788236072">
      <w:bodyDiv w:val="1"/>
      <w:marLeft w:val="0"/>
      <w:marRight w:val="0"/>
      <w:marTop w:val="0"/>
      <w:marBottom w:val="0"/>
      <w:divBdr>
        <w:top w:val="none" w:sz="0" w:space="0" w:color="auto"/>
        <w:left w:val="none" w:sz="0" w:space="0" w:color="auto"/>
        <w:bottom w:val="none" w:sz="0" w:space="0" w:color="auto"/>
        <w:right w:val="none" w:sz="0" w:space="0" w:color="auto"/>
      </w:divBdr>
    </w:div>
    <w:div w:id="1864438427">
      <w:bodyDiv w:val="1"/>
      <w:marLeft w:val="0"/>
      <w:marRight w:val="0"/>
      <w:marTop w:val="0"/>
      <w:marBottom w:val="0"/>
      <w:divBdr>
        <w:top w:val="none" w:sz="0" w:space="0" w:color="auto"/>
        <w:left w:val="none" w:sz="0" w:space="0" w:color="auto"/>
        <w:bottom w:val="none" w:sz="0" w:space="0" w:color="auto"/>
        <w:right w:val="none" w:sz="0" w:space="0" w:color="auto"/>
      </w:divBdr>
    </w:div>
    <w:div w:id="1930038570">
      <w:bodyDiv w:val="1"/>
      <w:marLeft w:val="0"/>
      <w:marRight w:val="0"/>
      <w:marTop w:val="0"/>
      <w:marBottom w:val="0"/>
      <w:divBdr>
        <w:top w:val="none" w:sz="0" w:space="0" w:color="auto"/>
        <w:left w:val="none" w:sz="0" w:space="0" w:color="auto"/>
        <w:bottom w:val="none" w:sz="0" w:space="0" w:color="auto"/>
        <w:right w:val="none" w:sz="0" w:space="0" w:color="auto"/>
      </w:divBdr>
    </w:div>
    <w:div w:id="21111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desarrollo0001</dc:creator>
  <cp:keywords/>
  <dc:description/>
  <cp:lastModifiedBy>Desarrollo social 3</cp:lastModifiedBy>
  <cp:revision>3</cp:revision>
  <cp:lastPrinted>2018-08-07T15:26:00Z</cp:lastPrinted>
  <dcterms:created xsi:type="dcterms:W3CDTF">2021-10-21T13:55:00Z</dcterms:created>
  <dcterms:modified xsi:type="dcterms:W3CDTF">2022-04-19T16:48:00Z</dcterms:modified>
</cp:coreProperties>
</file>